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6C8A3" w14:textId="77777777" w:rsidR="00F169B5" w:rsidRPr="006D0A4B" w:rsidRDefault="00F169B5" w:rsidP="00F169B5">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b/>
          <w:bCs/>
          <w:sz w:val="24"/>
          <w:szCs w:val="24"/>
          <w:u w:val="single"/>
        </w:rPr>
        <w:t>Terminologija</w:t>
      </w:r>
    </w:p>
    <w:p w14:paraId="4C0BDE58" w14:textId="77777777" w:rsidR="00F169B5" w:rsidRPr="006D0A4B" w:rsidRDefault="00F169B5" w:rsidP="00F169B5">
      <w:pPr>
        <w:autoSpaceDE w:val="0"/>
        <w:autoSpaceDN w:val="0"/>
        <w:adjustRightInd w:val="0"/>
        <w:spacing w:after="0" w:line="240" w:lineRule="auto"/>
        <w:rPr>
          <w:rFonts w:ascii="Times New Roman" w:hAnsi="Times New Roman" w:cs="Times New Roman"/>
          <w:b/>
          <w:bCs/>
          <w:sz w:val="24"/>
          <w:szCs w:val="24"/>
        </w:rPr>
      </w:pPr>
    </w:p>
    <w:tbl>
      <w:tblPr>
        <w:tblStyle w:val="TableGrid"/>
        <w:tblW w:w="9738" w:type="dxa"/>
        <w:tblLook w:val="04A0" w:firstRow="1" w:lastRow="0" w:firstColumn="1" w:lastColumn="0" w:noHBand="0" w:noVBand="1"/>
      </w:tblPr>
      <w:tblGrid>
        <w:gridCol w:w="1548"/>
        <w:gridCol w:w="8190"/>
      </w:tblGrid>
      <w:tr w:rsidR="00F169B5" w:rsidRPr="006D0A4B" w14:paraId="763BF9A7" w14:textId="77777777" w:rsidTr="00D90FAB">
        <w:trPr>
          <w:trHeight w:val="332"/>
        </w:trPr>
        <w:tc>
          <w:tcPr>
            <w:tcW w:w="1548" w:type="dxa"/>
            <w:shd w:val="clear" w:color="auto" w:fill="4F81BD" w:themeFill="accent1"/>
            <w:vAlign w:val="center"/>
          </w:tcPr>
          <w:p w14:paraId="7E5DBA98" w14:textId="77777777" w:rsidR="00F169B5" w:rsidRPr="00192D17" w:rsidRDefault="00F169B5" w:rsidP="00D90FAB">
            <w:pPr>
              <w:autoSpaceDE w:val="0"/>
              <w:autoSpaceDN w:val="0"/>
              <w:adjustRightInd w:val="0"/>
              <w:spacing w:line="276" w:lineRule="auto"/>
              <w:jc w:val="center"/>
              <w:rPr>
                <w:rFonts w:ascii="Times New Roman" w:hAnsi="Times New Roman" w:cs="Times New Roman"/>
                <w:b/>
                <w:color w:val="FFFFFF" w:themeColor="background1"/>
                <w:u w:val="single"/>
              </w:rPr>
            </w:pPr>
            <w:r>
              <w:rPr>
                <w:rFonts w:ascii="Times New Roman" w:hAnsi="Times New Roman"/>
                <w:b/>
                <w:color w:val="FFFFFF" w:themeColor="background1"/>
                <w:u w:val="single"/>
              </w:rPr>
              <w:t>Pojam</w:t>
            </w:r>
          </w:p>
        </w:tc>
        <w:tc>
          <w:tcPr>
            <w:tcW w:w="8190" w:type="dxa"/>
            <w:shd w:val="clear" w:color="auto" w:fill="4F81BD" w:themeFill="accent1"/>
            <w:vAlign w:val="center"/>
          </w:tcPr>
          <w:p w14:paraId="6CCC573F" w14:textId="77777777" w:rsidR="00F169B5" w:rsidRPr="00192D17" w:rsidRDefault="00F169B5" w:rsidP="00D90FAB">
            <w:pPr>
              <w:autoSpaceDE w:val="0"/>
              <w:autoSpaceDN w:val="0"/>
              <w:adjustRightInd w:val="0"/>
              <w:spacing w:line="276" w:lineRule="auto"/>
              <w:jc w:val="center"/>
              <w:rPr>
                <w:rFonts w:ascii="Times New Roman" w:hAnsi="Times New Roman" w:cs="Times New Roman"/>
                <w:b/>
                <w:color w:val="FFFFFF" w:themeColor="background1"/>
                <w:u w:val="single"/>
              </w:rPr>
            </w:pPr>
            <w:r>
              <w:rPr>
                <w:rFonts w:ascii="Times New Roman" w:hAnsi="Times New Roman"/>
                <w:b/>
                <w:color w:val="FFFFFF" w:themeColor="background1"/>
                <w:u w:val="single"/>
              </w:rPr>
              <w:t>Definicija</w:t>
            </w:r>
          </w:p>
        </w:tc>
      </w:tr>
      <w:tr w:rsidR="00F169B5" w:rsidRPr="006D0A4B" w14:paraId="5CB4A801" w14:textId="77777777" w:rsidTr="00D90FAB">
        <w:tc>
          <w:tcPr>
            <w:tcW w:w="1548" w:type="dxa"/>
          </w:tcPr>
          <w:p w14:paraId="75E57FEA" w14:textId="77777777" w:rsidR="00F169B5" w:rsidRPr="001D6FDC" w:rsidRDefault="00F169B5" w:rsidP="00D90FAB">
            <w:pPr>
              <w:autoSpaceDE w:val="0"/>
              <w:autoSpaceDN w:val="0"/>
              <w:adjustRightInd w:val="0"/>
              <w:spacing w:line="276" w:lineRule="auto"/>
              <w:rPr>
                <w:rFonts w:ascii="Times New Roman" w:hAnsi="Times New Roman" w:cs="Times New Roman"/>
                <w:b/>
                <w:sz w:val="20"/>
                <w:szCs w:val="20"/>
              </w:rPr>
            </w:pPr>
            <w:r>
              <w:rPr>
                <w:rFonts w:ascii="Times New Roman" w:hAnsi="Times New Roman"/>
                <w:b/>
                <w:sz w:val="20"/>
                <w:szCs w:val="20"/>
              </w:rPr>
              <w:t>Tehnologija</w:t>
            </w:r>
          </w:p>
        </w:tc>
        <w:tc>
          <w:tcPr>
            <w:tcW w:w="8190" w:type="dxa"/>
          </w:tcPr>
          <w:p w14:paraId="006924C7" w14:textId="77777777" w:rsidR="00F169B5" w:rsidRPr="006D0A4B" w:rsidRDefault="00F169B5" w:rsidP="00D90FAB">
            <w:pPr>
              <w:autoSpaceDE w:val="0"/>
              <w:autoSpaceDN w:val="0"/>
              <w:adjustRightInd w:val="0"/>
              <w:jc w:val="both"/>
              <w:rPr>
                <w:rFonts w:ascii="Times New Roman" w:hAnsi="Times New Roman" w:cs="Times New Roman"/>
                <w:color w:val="000000"/>
                <w:sz w:val="20"/>
                <w:szCs w:val="20"/>
              </w:rPr>
            </w:pPr>
            <w:r>
              <w:rPr>
                <w:rFonts w:ascii="Times New Roman" w:hAnsi="Times New Roman"/>
                <w:color w:val="000000"/>
                <w:sz w:val="20"/>
                <w:szCs w:val="20"/>
              </w:rPr>
              <w:t>Svaka specifična informacija ili znanje (u materijalnom obliku, kao što su modeli, prototipovi, crteži, skice, dijagrami, nacrti, priručnici, programi, ili u nematerijalnom obliku, kao što su osposobljavanje ili tehničke usluge) potrebno za razvoj, proizvodnju ili korištenje robe, ali ne sama roba. Informacije imaju oblik „tehničkog podatka” ili „tehničke pomoći”.</w:t>
            </w:r>
          </w:p>
        </w:tc>
      </w:tr>
      <w:tr w:rsidR="00F169B5" w:rsidRPr="006D0A4B" w14:paraId="62B4D56E" w14:textId="77777777" w:rsidTr="00D90FAB">
        <w:tc>
          <w:tcPr>
            <w:tcW w:w="1548" w:type="dxa"/>
          </w:tcPr>
          <w:p w14:paraId="199E13AC" w14:textId="77777777" w:rsidR="00F169B5" w:rsidRPr="001D6FDC" w:rsidRDefault="00F169B5" w:rsidP="00D90FAB">
            <w:pPr>
              <w:autoSpaceDE w:val="0"/>
              <w:autoSpaceDN w:val="0"/>
              <w:adjustRightInd w:val="0"/>
              <w:spacing w:line="276" w:lineRule="auto"/>
              <w:rPr>
                <w:rFonts w:ascii="Times New Roman" w:hAnsi="Times New Roman" w:cs="Times New Roman"/>
                <w:b/>
                <w:color w:val="C00000"/>
                <w:sz w:val="20"/>
                <w:szCs w:val="20"/>
              </w:rPr>
            </w:pPr>
            <w:r>
              <w:rPr>
                <w:rFonts w:ascii="Times New Roman" w:hAnsi="Times New Roman"/>
                <w:b/>
                <w:sz w:val="20"/>
                <w:szCs w:val="20"/>
              </w:rPr>
              <w:t>Tehnički podatak</w:t>
            </w:r>
          </w:p>
        </w:tc>
        <w:tc>
          <w:tcPr>
            <w:tcW w:w="8190" w:type="dxa"/>
          </w:tcPr>
          <w:p w14:paraId="60655F29" w14:textId="1CCEAE2D" w:rsidR="00F169B5" w:rsidRPr="006D0A4B" w:rsidRDefault="00F169B5" w:rsidP="00D90FAB">
            <w:pPr>
              <w:autoSpaceDE w:val="0"/>
              <w:autoSpaceDN w:val="0"/>
              <w:adjustRightInd w:val="0"/>
              <w:jc w:val="both"/>
              <w:rPr>
                <w:rFonts w:ascii="Times New Roman" w:hAnsi="Times New Roman" w:cs="Times New Roman"/>
                <w:color w:val="000000"/>
                <w:sz w:val="20"/>
                <w:szCs w:val="20"/>
              </w:rPr>
            </w:pPr>
            <w:r>
              <w:rPr>
                <w:rFonts w:ascii="Times New Roman" w:hAnsi="Times New Roman"/>
                <w:color w:val="000000"/>
                <w:sz w:val="20"/>
                <w:szCs w:val="20"/>
              </w:rPr>
              <w:t xml:space="preserve">Informacija potrebna za projektiranje, razvoj, proizvodnju, izradu, sastavljanje, rukovanje, popravljanje, testiranje, održavanje ili izmjenu kontroliranog proizvoda. To uključuje informacije u obliku nacrta, planova, dijagrama, modela, matematičkih formula, tablica, inženjerskih projekata i specifikacija, priručnika i uputa pisanih ili snimljenih na ostalim medijima ili uređajima poput diskova, vrpci ili memorija samo za čitanje (ROM). Tehnički podaci </w:t>
            </w:r>
            <w:r w:rsidR="00D73F9A">
              <w:rPr>
                <w:rFonts w:ascii="Times New Roman" w:hAnsi="Times New Roman"/>
                <w:color w:val="000000"/>
                <w:sz w:val="20"/>
                <w:szCs w:val="20"/>
              </w:rPr>
              <w:t xml:space="preserve">se mogu </w:t>
            </w:r>
            <w:r>
              <w:rPr>
                <w:rFonts w:ascii="Times New Roman" w:hAnsi="Times New Roman"/>
                <w:color w:val="000000"/>
                <w:sz w:val="20"/>
                <w:szCs w:val="20"/>
              </w:rPr>
              <w:t xml:space="preserve">prenositi materijalnim ili nematerijalnim sredstvima. </w:t>
            </w:r>
            <w:r>
              <w:rPr>
                <w:rFonts w:ascii="Times New Roman" w:hAnsi="Times New Roman"/>
                <w:color w:val="000000"/>
                <w:sz w:val="20"/>
                <w:szCs w:val="20"/>
                <w:u w:val="single"/>
              </w:rPr>
              <w:t>Napomena</w:t>
            </w:r>
            <w:r>
              <w:rPr>
                <w:rFonts w:ascii="Times New Roman" w:hAnsi="Times New Roman"/>
                <w:color w:val="000000"/>
                <w:sz w:val="20"/>
                <w:szCs w:val="20"/>
              </w:rPr>
              <w:t xml:space="preserve">: </w:t>
            </w:r>
            <w:r>
              <w:rPr>
                <w:rFonts w:ascii="Times New Roman" w:hAnsi="Times New Roman"/>
                <w:i/>
                <w:color w:val="000000"/>
                <w:sz w:val="20"/>
                <w:szCs w:val="20"/>
              </w:rPr>
              <w:t>Nematerijalni prijenos tehnologije (ITT) može nastupiti vizualnim, usmenim ili elektroničkim putem.</w:t>
            </w:r>
          </w:p>
          <w:p w14:paraId="2C009225" w14:textId="43C10346" w:rsidR="00F169B5" w:rsidRPr="006D0A4B" w:rsidRDefault="00F169B5" w:rsidP="00D90FAB">
            <w:pPr>
              <w:autoSpaceDE w:val="0"/>
              <w:autoSpaceDN w:val="0"/>
              <w:adjustRightInd w:val="0"/>
              <w:jc w:val="both"/>
              <w:rPr>
                <w:rFonts w:ascii="Times New Roman" w:hAnsi="Times New Roman" w:cs="Times New Roman"/>
                <w:color w:val="000000"/>
                <w:sz w:val="20"/>
                <w:szCs w:val="20"/>
              </w:rPr>
            </w:pPr>
            <w:r>
              <w:rPr>
                <w:rFonts w:ascii="Times New Roman" w:hAnsi="Times New Roman"/>
                <w:color w:val="000000"/>
                <w:sz w:val="20"/>
                <w:szCs w:val="20"/>
              </w:rPr>
              <w:t>Primjeri tehničkih podataka koji su zajednički sveučilištima i</w:t>
            </w:r>
            <w:r w:rsidR="00D73F9A">
              <w:rPr>
                <w:rFonts w:ascii="Times New Roman" w:hAnsi="Times New Roman"/>
                <w:color w:val="000000"/>
                <w:sz w:val="20"/>
                <w:szCs w:val="20"/>
              </w:rPr>
              <w:t xml:space="preserve"> istraživačkim organizacijama mogu uključivat</w:t>
            </w:r>
            <w:r>
              <w:rPr>
                <w:rFonts w:ascii="Times New Roman" w:hAnsi="Times New Roman"/>
                <w:color w:val="000000"/>
                <w:sz w:val="20"/>
                <w:szCs w:val="20"/>
              </w:rPr>
              <w:t>i:</w:t>
            </w:r>
          </w:p>
          <w:p w14:paraId="2CF35EA6" w14:textId="77777777" w:rsidR="00F169B5" w:rsidRPr="006D0A4B" w:rsidRDefault="00F169B5" w:rsidP="00D90FAB">
            <w:pPr>
              <w:numPr>
                <w:ilvl w:val="0"/>
                <w:numId w:val="27"/>
              </w:numPr>
              <w:autoSpaceDE w:val="0"/>
              <w:autoSpaceDN w:val="0"/>
              <w:adjustRightInd w:val="0"/>
              <w:spacing w:before="60"/>
              <w:ind w:left="518"/>
              <w:jc w:val="both"/>
              <w:rPr>
                <w:rFonts w:ascii="Times New Roman" w:hAnsi="Times New Roman" w:cs="Times New Roman"/>
                <w:color w:val="000000"/>
                <w:sz w:val="20"/>
                <w:szCs w:val="20"/>
              </w:rPr>
            </w:pPr>
            <w:r>
              <w:rPr>
                <w:rFonts w:ascii="Times New Roman" w:hAnsi="Times New Roman"/>
                <w:color w:val="000000"/>
                <w:sz w:val="20"/>
                <w:szCs w:val="20"/>
              </w:rPr>
              <w:t xml:space="preserve">tehničke izvještaje, prezentacije ili rukopise prije objavljivanja i istraživačke zapise </w:t>
            </w:r>
          </w:p>
          <w:p w14:paraId="0F82CB8B" w14:textId="77777777" w:rsidR="00F169B5" w:rsidRPr="006D0A4B" w:rsidRDefault="00F169B5" w:rsidP="00D90FAB">
            <w:pPr>
              <w:numPr>
                <w:ilvl w:val="0"/>
                <w:numId w:val="27"/>
              </w:numPr>
              <w:autoSpaceDE w:val="0"/>
              <w:autoSpaceDN w:val="0"/>
              <w:adjustRightInd w:val="0"/>
              <w:spacing w:before="60"/>
              <w:ind w:left="522"/>
              <w:jc w:val="both"/>
              <w:rPr>
                <w:rFonts w:ascii="Times New Roman" w:hAnsi="Times New Roman" w:cs="Times New Roman"/>
                <w:color w:val="000000"/>
                <w:sz w:val="20"/>
                <w:szCs w:val="20"/>
              </w:rPr>
            </w:pPr>
            <w:r>
              <w:rPr>
                <w:rFonts w:ascii="Times New Roman" w:hAnsi="Times New Roman"/>
                <w:color w:val="000000"/>
                <w:sz w:val="20"/>
                <w:szCs w:val="20"/>
              </w:rPr>
              <w:t xml:space="preserve">crteže projekata, dijagrame instalacija, dokumente o metodi izrade, dokumente o metodi testiranja i dokumente o metodi evaluacije </w:t>
            </w:r>
          </w:p>
          <w:p w14:paraId="27C740AE" w14:textId="77777777" w:rsidR="00F169B5" w:rsidRPr="006D0A4B" w:rsidRDefault="00F169B5" w:rsidP="00D90FAB">
            <w:pPr>
              <w:numPr>
                <w:ilvl w:val="0"/>
                <w:numId w:val="27"/>
              </w:numPr>
              <w:autoSpaceDE w:val="0"/>
              <w:autoSpaceDN w:val="0"/>
              <w:adjustRightInd w:val="0"/>
              <w:spacing w:before="60"/>
              <w:ind w:left="522"/>
              <w:jc w:val="both"/>
              <w:rPr>
                <w:rFonts w:ascii="Times New Roman" w:hAnsi="Times New Roman" w:cs="Times New Roman"/>
                <w:color w:val="000000"/>
                <w:sz w:val="20"/>
                <w:szCs w:val="20"/>
              </w:rPr>
            </w:pPr>
            <w:r>
              <w:rPr>
                <w:rFonts w:ascii="Times New Roman" w:hAnsi="Times New Roman"/>
                <w:color w:val="000000"/>
                <w:sz w:val="20"/>
                <w:szCs w:val="20"/>
              </w:rPr>
              <w:t xml:space="preserve">tehničke specifikacije o eksperimentalnoj opremi </w:t>
            </w:r>
          </w:p>
          <w:p w14:paraId="22091AFF" w14:textId="77777777" w:rsidR="00F169B5" w:rsidRPr="006D0A4B" w:rsidRDefault="00F169B5" w:rsidP="00D90FAB">
            <w:pPr>
              <w:numPr>
                <w:ilvl w:val="0"/>
                <w:numId w:val="27"/>
              </w:numPr>
              <w:autoSpaceDE w:val="0"/>
              <w:autoSpaceDN w:val="0"/>
              <w:adjustRightInd w:val="0"/>
              <w:spacing w:before="60"/>
              <w:ind w:left="522"/>
              <w:jc w:val="both"/>
              <w:rPr>
                <w:rFonts w:ascii="Times New Roman" w:hAnsi="Times New Roman" w:cs="Times New Roman"/>
                <w:color w:val="000000"/>
                <w:sz w:val="20"/>
                <w:szCs w:val="20"/>
              </w:rPr>
            </w:pPr>
            <w:r>
              <w:rPr>
                <w:rFonts w:ascii="Times New Roman" w:hAnsi="Times New Roman"/>
                <w:color w:val="000000"/>
                <w:sz w:val="20"/>
                <w:szCs w:val="20"/>
              </w:rPr>
              <w:t xml:space="preserve">eksperimentalne podatke </w:t>
            </w:r>
          </w:p>
          <w:p w14:paraId="525D5C90" w14:textId="77777777" w:rsidR="00F169B5" w:rsidRPr="006D0A4B" w:rsidRDefault="00F169B5" w:rsidP="00D90FAB">
            <w:pPr>
              <w:numPr>
                <w:ilvl w:val="0"/>
                <w:numId w:val="27"/>
              </w:numPr>
              <w:autoSpaceDE w:val="0"/>
              <w:autoSpaceDN w:val="0"/>
              <w:adjustRightInd w:val="0"/>
              <w:spacing w:before="60"/>
              <w:ind w:left="522"/>
              <w:jc w:val="both"/>
              <w:rPr>
                <w:rFonts w:ascii="Times New Roman" w:hAnsi="Times New Roman" w:cs="Times New Roman"/>
                <w:color w:val="000000"/>
                <w:sz w:val="20"/>
                <w:szCs w:val="20"/>
              </w:rPr>
            </w:pPr>
            <w:r>
              <w:rPr>
                <w:rFonts w:ascii="Times New Roman" w:hAnsi="Times New Roman"/>
                <w:color w:val="000000"/>
                <w:sz w:val="20"/>
                <w:szCs w:val="20"/>
              </w:rPr>
              <w:t xml:space="preserve">računalne programe, itd. </w:t>
            </w:r>
          </w:p>
        </w:tc>
      </w:tr>
      <w:tr w:rsidR="00F169B5" w:rsidRPr="006D0A4B" w14:paraId="60E3BC52" w14:textId="77777777" w:rsidTr="00D90FAB">
        <w:tc>
          <w:tcPr>
            <w:tcW w:w="1548" w:type="dxa"/>
          </w:tcPr>
          <w:p w14:paraId="4E6CC3FD" w14:textId="77777777" w:rsidR="00F169B5" w:rsidRPr="001D6FDC" w:rsidRDefault="00F169B5" w:rsidP="00D90FAB">
            <w:pPr>
              <w:autoSpaceDE w:val="0"/>
              <w:autoSpaceDN w:val="0"/>
              <w:adjustRightInd w:val="0"/>
              <w:spacing w:line="276" w:lineRule="auto"/>
              <w:rPr>
                <w:rFonts w:ascii="Times New Roman" w:hAnsi="Times New Roman" w:cs="Times New Roman"/>
                <w:b/>
                <w:color w:val="C00000"/>
                <w:sz w:val="20"/>
                <w:szCs w:val="20"/>
              </w:rPr>
            </w:pPr>
            <w:r>
              <w:rPr>
                <w:rFonts w:ascii="Times New Roman" w:hAnsi="Times New Roman"/>
                <w:b/>
                <w:sz w:val="20"/>
                <w:szCs w:val="20"/>
              </w:rPr>
              <w:t>Tehnička pomoć</w:t>
            </w:r>
          </w:p>
        </w:tc>
        <w:tc>
          <w:tcPr>
            <w:tcW w:w="8190" w:type="dxa"/>
          </w:tcPr>
          <w:p w14:paraId="3DA79162" w14:textId="77777777" w:rsidR="00F169B5" w:rsidRPr="006D0A4B" w:rsidRDefault="00F169B5" w:rsidP="00D90FAB">
            <w:pPr>
              <w:autoSpaceDE w:val="0"/>
              <w:autoSpaceDN w:val="0"/>
              <w:adjustRightInd w:val="0"/>
              <w:jc w:val="both"/>
              <w:rPr>
                <w:rFonts w:ascii="Times New Roman" w:hAnsi="Times New Roman" w:cs="Times New Roman"/>
                <w:color w:val="000000"/>
                <w:sz w:val="20"/>
                <w:szCs w:val="20"/>
              </w:rPr>
            </w:pPr>
            <w:r>
              <w:rPr>
                <w:rFonts w:ascii="Times New Roman" w:hAnsi="Times New Roman"/>
                <w:color w:val="000000"/>
                <w:sz w:val="20"/>
                <w:szCs w:val="20"/>
              </w:rPr>
              <w:t>Tehnička pomoć može biti u obliku uputstava, osposobljavanja, radnog znanja, konzultantskih usluga i može uključivati prijenos tehničkih podataka.</w:t>
            </w:r>
          </w:p>
          <w:p w14:paraId="60813996" w14:textId="6A332755" w:rsidR="00F169B5" w:rsidRPr="006D0A4B" w:rsidRDefault="00F169B5" w:rsidP="00D90FAB">
            <w:pPr>
              <w:autoSpaceDE w:val="0"/>
              <w:autoSpaceDN w:val="0"/>
              <w:adjustRightInd w:val="0"/>
              <w:jc w:val="both"/>
              <w:rPr>
                <w:rFonts w:ascii="Times New Roman" w:hAnsi="Times New Roman" w:cs="Times New Roman"/>
                <w:color w:val="000000"/>
                <w:sz w:val="20"/>
                <w:szCs w:val="20"/>
              </w:rPr>
            </w:pPr>
            <w:r>
              <w:rPr>
                <w:rFonts w:ascii="Times New Roman" w:hAnsi="Times New Roman"/>
                <w:color w:val="000000"/>
                <w:sz w:val="20"/>
                <w:szCs w:val="20"/>
              </w:rPr>
              <w:t>Primjeri tehničke pomoći koji su zajednički sveučilištima i</w:t>
            </w:r>
            <w:r w:rsidR="00D73F9A">
              <w:rPr>
                <w:rFonts w:ascii="Times New Roman" w:hAnsi="Times New Roman"/>
                <w:color w:val="000000"/>
                <w:sz w:val="20"/>
                <w:szCs w:val="20"/>
              </w:rPr>
              <w:t xml:space="preserve"> istraživačkim organizacijama mogu uključivat</w:t>
            </w:r>
            <w:r>
              <w:rPr>
                <w:rFonts w:ascii="Times New Roman" w:hAnsi="Times New Roman"/>
                <w:color w:val="000000"/>
                <w:sz w:val="20"/>
                <w:szCs w:val="20"/>
              </w:rPr>
              <w:t>i:</w:t>
            </w:r>
          </w:p>
          <w:p w14:paraId="588B194A" w14:textId="77777777" w:rsidR="00F169B5" w:rsidRPr="006D0A4B" w:rsidRDefault="00F169B5" w:rsidP="00D90FAB">
            <w:pPr>
              <w:numPr>
                <w:ilvl w:val="0"/>
                <w:numId w:val="28"/>
              </w:numPr>
              <w:autoSpaceDE w:val="0"/>
              <w:autoSpaceDN w:val="0"/>
              <w:adjustRightInd w:val="0"/>
              <w:spacing w:before="120" w:line="276" w:lineRule="auto"/>
              <w:ind w:left="518"/>
              <w:jc w:val="both"/>
              <w:rPr>
                <w:rFonts w:ascii="Times New Roman" w:hAnsi="Times New Roman" w:cs="Times New Roman"/>
                <w:color w:val="000000"/>
                <w:sz w:val="20"/>
                <w:szCs w:val="20"/>
              </w:rPr>
            </w:pPr>
            <w:r>
              <w:rPr>
                <w:rFonts w:ascii="Times New Roman" w:hAnsi="Times New Roman"/>
                <w:color w:val="000000"/>
                <w:sz w:val="20"/>
                <w:szCs w:val="20"/>
              </w:rPr>
              <w:t xml:space="preserve">prezentacije ili objašnjenja pomoću prezentacijskog programa </w:t>
            </w:r>
          </w:p>
          <w:p w14:paraId="6B561801" w14:textId="77777777" w:rsidR="00F169B5" w:rsidRPr="006D0A4B" w:rsidRDefault="00F169B5" w:rsidP="00D90FAB">
            <w:pPr>
              <w:numPr>
                <w:ilvl w:val="0"/>
                <w:numId w:val="28"/>
              </w:numPr>
              <w:autoSpaceDE w:val="0"/>
              <w:autoSpaceDN w:val="0"/>
              <w:adjustRightInd w:val="0"/>
              <w:spacing w:line="276" w:lineRule="auto"/>
              <w:ind w:left="522"/>
              <w:jc w:val="both"/>
              <w:rPr>
                <w:rFonts w:ascii="Times New Roman" w:hAnsi="Times New Roman" w:cs="Times New Roman"/>
                <w:color w:val="000000"/>
                <w:sz w:val="20"/>
                <w:szCs w:val="20"/>
              </w:rPr>
            </w:pPr>
            <w:r>
              <w:rPr>
                <w:rFonts w:ascii="Times New Roman" w:hAnsi="Times New Roman"/>
                <w:color w:val="000000"/>
                <w:sz w:val="20"/>
                <w:szCs w:val="20"/>
              </w:rPr>
              <w:t>usmene istraživačke prezentacije, upute za određene vještine, itd.</w:t>
            </w:r>
          </w:p>
        </w:tc>
      </w:tr>
      <w:tr w:rsidR="00F169B5" w:rsidRPr="006D0A4B" w14:paraId="1AC9AFC5" w14:textId="77777777" w:rsidTr="00D90FAB">
        <w:trPr>
          <w:trHeight w:val="980"/>
        </w:trPr>
        <w:tc>
          <w:tcPr>
            <w:tcW w:w="1548" w:type="dxa"/>
          </w:tcPr>
          <w:p w14:paraId="1BBC8D74" w14:textId="77777777" w:rsidR="00F169B5" w:rsidRPr="001D6FDC" w:rsidRDefault="00F169B5" w:rsidP="00D90FAB">
            <w:pPr>
              <w:autoSpaceDE w:val="0"/>
              <w:autoSpaceDN w:val="0"/>
              <w:adjustRightInd w:val="0"/>
              <w:spacing w:line="276" w:lineRule="auto"/>
              <w:rPr>
                <w:rFonts w:ascii="Times New Roman" w:hAnsi="Times New Roman" w:cs="Times New Roman"/>
                <w:b/>
                <w:sz w:val="20"/>
                <w:szCs w:val="20"/>
                <w:highlight w:val="yellow"/>
              </w:rPr>
            </w:pPr>
            <w:r>
              <w:rPr>
                <w:rFonts w:ascii="Times New Roman" w:hAnsi="Times New Roman"/>
                <w:b/>
                <w:sz w:val="20"/>
                <w:szCs w:val="20"/>
              </w:rPr>
              <w:t>Nematerijalni prijenos tehnologije (ITT)</w:t>
            </w:r>
          </w:p>
        </w:tc>
        <w:tc>
          <w:tcPr>
            <w:tcW w:w="8190" w:type="dxa"/>
          </w:tcPr>
          <w:p w14:paraId="2B8B51B1" w14:textId="77777777" w:rsidR="00F169B5" w:rsidRPr="006D0A4B" w:rsidRDefault="00F169B5" w:rsidP="00D90FAB">
            <w:pPr>
              <w:autoSpaceDE w:val="0"/>
              <w:autoSpaceDN w:val="0"/>
              <w:adjustRightInd w:val="0"/>
              <w:jc w:val="both"/>
              <w:rPr>
                <w:rFonts w:ascii="Times New Roman" w:hAnsi="Times New Roman" w:cs="Times New Roman"/>
                <w:color w:val="000000"/>
                <w:sz w:val="20"/>
                <w:szCs w:val="20"/>
              </w:rPr>
            </w:pPr>
            <w:r>
              <w:rPr>
                <w:rFonts w:ascii="Times New Roman" w:hAnsi="Times New Roman"/>
                <w:color w:val="000000"/>
                <w:sz w:val="20"/>
                <w:szCs w:val="20"/>
              </w:rPr>
              <w:t>Prijenos kontrolirane tehnologije, informacija ili znanja nefizičkim putem (elektroničkim, vizualnim ili usmenim) uključuje dostavu tehničkih detalja i shema, projekata, lekcija i sličnog znanja (tehnički podaci) putem edukacije, osposobljavanja ili uputa (tehnička pomoć).</w:t>
            </w:r>
          </w:p>
        </w:tc>
      </w:tr>
      <w:tr w:rsidR="00F169B5" w:rsidRPr="006D0A4B" w14:paraId="3C338DD2" w14:textId="77777777" w:rsidTr="00D90FAB">
        <w:trPr>
          <w:trHeight w:val="980"/>
        </w:trPr>
        <w:tc>
          <w:tcPr>
            <w:tcW w:w="1548" w:type="dxa"/>
          </w:tcPr>
          <w:p w14:paraId="4668E272" w14:textId="77777777" w:rsidR="00F169B5" w:rsidRPr="001D6FDC" w:rsidRDefault="00F169B5" w:rsidP="00D90FAB">
            <w:pPr>
              <w:autoSpaceDE w:val="0"/>
              <w:autoSpaceDN w:val="0"/>
              <w:adjustRightInd w:val="0"/>
              <w:spacing w:line="276" w:lineRule="auto"/>
              <w:rPr>
                <w:rFonts w:ascii="Times New Roman" w:hAnsi="Times New Roman" w:cs="Times New Roman"/>
                <w:b/>
                <w:sz w:val="20"/>
                <w:szCs w:val="20"/>
              </w:rPr>
            </w:pPr>
            <w:r>
              <w:rPr>
                <w:rFonts w:ascii="Times New Roman" w:hAnsi="Times New Roman"/>
                <w:b/>
                <w:sz w:val="20"/>
                <w:szCs w:val="20"/>
              </w:rPr>
              <w:t xml:space="preserve">Procijenjeni izvoz </w:t>
            </w:r>
          </w:p>
        </w:tc>
        <w:tc>
          <w:tcPr>
            <w:tcW w:w="8190" w:type="dxa"/>
          </w:tcPr>
          <w:p w14:paraId="40C40D00" w14:textId="77777777" w:rsidR="00F169B5" w:rsidRPr="006D0A4B" w:rsidRDefault="00F169B5" w:rsidP="00D90FAB">
            <w:pPr>
              <w:autoSpaceDE w:val="0"/>
              <w:autoSpaceDN w:val="0"/>
              <w:adjustRightInd w:val="0"/>
              <w:jc w:val="both"/>
              <w:rPr>
                <w:rFonts w:ascii="Times New Roman" w:hAnsi="Times New Roman" w:cs="Times New Roman"/>
                <w:color w:val="000000"/>
                <w:sz w:val="20"/>
                <w:szCs w:val="20"/>
              </w:rPr>
            </w:pPr>
            <w:r>
              <w:rPr>
                <w:rFonts w:ascii="Times New Roman" w:hAnsi="Times New Roman"/>
                <w:color w:val="000000"/>
                <w:sz w:val="20"/>
                <w:szCs w:val="20"/>
              </w:rPr>
              <w:t>Procijenjeni izvoz je objava tehnologije ili informacije stranom državljaninu u državi izvoznici. Brojne nacionalne vlade, kao što je vlada SAD-a, zahtijevaju da poduzeća nabave posebne dozvole prije nego se stranim državljanima dopusti pristup kontroliranoj tehnologiji ili informacijama, čak i ako imaju boravište u dotičnoj državi i rade u tom poduzeću.</w:t>
            </w:r>
          </w:p>
        </w:tc>
      </w:tr>
      <w:tr w:rsidR="00F169B5" w:rsidRPr="006D0A4B" w14:paraId="0C231438" w14:textId="77777777" w:rsidTr="00D90FAB">
        <w:trPr>
          <w:trHeight w:val="980"/>
        </w:trPr>
        <w:tc>
          <w:tcPr>
            <w:tcW w:w="1548" w:type="dxa"/>
          </w:tcPr>
          <w:p w14:paraId="20D47C72" w14:textId="77777777" w:rsidR="00F169B5" w:rsidRPr="001D6FDC" w:rsidRDefault="00F169B5" w:rsidP="00D90FAB">
            <w:pPr>
              <w:autoSpaceDE w:val="0"/>
              <w:autoSpaceDN w:val="0"/>
              <w:adjustRightInd w:val="0"/>
              <w:spacing w:line="276" w:lineRule="auto"/>
              <w:rPr>
                <w:rFonts w:ascii="Times New Roman" w:hAnsi="Times New Roman" w:cs="Times New Roman"/>
                <w:b/>
                <w:sz w:val="20"/>
                <w:szCs w:val="20"/>
              </w:rPr>
            </w:pPr>
            <w:r>
              <w:rPr>
                <w:rFonts w:ascii="Times New Roman" w:hAnsi="Times New Roman"/>
                <w:b/>
                <w:sz w:val="20"/>
                <w:szCs w:val="20"/>
              </w:rPr>
              <w:t>Strani državljanin</w:t>
            </w:r>
          </w:p>
        </w:tc>
        <w:tc>
          <w:tcPr>
            <w:tcW w:w="8190" w:type="dxa"/>
          </w:tcPr>
          <w:p w14:paraId="12B6DC03" w14:textId="77777777" w:rsidR="00F169B5" w:rsidRPr="006D0A4B" w:rsidRDefault="00F169B5" w:rsidP="00D90FAB">
            <w:pPr>
              <w:autoSpaceDE w:val="0"/>
              <w:autoSpaceDN w:val="0"/>
              <w:adjustRightInd w:val="0"/>
              <w:jc w:val="both"/>
              <w:rPr>
                <w:rFonts w:ascii="Times New Roman" w:hAnsi="Times New Roman" w:cs="Times New Roman"/>
                <w:color w:val="000000"/>
                <w:sz w:val="20"/>
                <w:szCs w:val="20"/>
              </w:rPr>
            </w:pPr>
            <w:r>
              <w:rPr>
                <w:rFonts w:ascii="Times New Roman" w:hAnsi="Times New Roman"/>
                <w:sz w:val="20"/>
                <w:szCs w:val="20"/>
              </w:rPr>
              <w:t xml:space="preserve">1) </w:t>
            </w:r>
            <w:r>
              <w:rPr>
                <w:rFonts w:ascii="Times New Roman" w:hAnsi="Times New Roman"/>
                <w:sz w:val="20"/>
                <w:szCs w:val="20"/>
                <w:shd w:val="clear" w:color="auto" w:fill="FFFFFF"/>
              </w:rPr>
              <w:t>Osoba koja nema zakonito stalno prebivalište, koja nije građanin ili državljanin, 2) strani subjekt (trgovačko društvo, poslovna udruga, partnerstvo, itd.) koje nije osnovano ili organizirano da posluje u vašoj državi, ili 3) međunarodna organizacija, strana vlada ili agencija, ili dio strane vlade.</w:t>
            </w:r>
          </w:p>
        </w:tc>
      </w:tr>
      <w:tr w:rsidR="00F169B5" w:rsidRPr="006D0A4B" w14:paraId="5B6FC4E4" w14:textId="77777777" w:rsidTr="00D90FAB">
        <w:trPr>
          <w:trHeight w:val="755"/>
        </w:trPr>
        <w:tc>
          <w:tcPr>
            <w:tcW w:w="1548" w:type="dxa"/>
          </w:tcPr>
          <w:p w14:paraId="38CB5381" w14:textId="77777777" w:rsidR="00F169B5" w:rsidRPr="001D6FDC" w:rsidRDefault="00F169B5" w:rsidP="00D90FAB">
            <w:pPr>
              <w:autoSpaceDE w:val="0"/>
              <w:autoSpaceDN w:val="0"/>
              <w:adjustRightInd w:val="0"/>
              <w:spacing w:line="276" w:lineRule="auto"/>
              <w:rPr>
                <w:rFonts w:ascii="Times New Roman" w:hAnsi="Times New Roman" w:cs="Times New Roman"/>
                <w:b/>
                <w:sz w:val="20"/>
                <w:szCs w:val="20"/>
              </w:rPr>
            </w:pPr>
            <w:r>
              <w:rPr>
                <w:rFonts w:ascii="Times New Roman" w:hAnsi="Times New Roman"/>
                <w:b/>
                <w:sz w:val="20"/>
                <w:szCs w:val="20"/>
              </w:rPr>
              <w:t>Osnovno znanstveno istraživanje</w:t>
            </w:r>
          </w:p>
        </w:tc>
        <w:tc>
          <w:tcPr>
            <w:tcW w:w="8190" w:type="dxa"/>
          </w:tcPr>
          <w:p w14:paraId="6B4F4750" w14:textId="77777777" w:rsidR="00F169B5" w:rsidRPr="006D0A4B" w:rsidRDefault="00F169B5" w:rsidP="00D90FAB">
            <w:pPr>
              <w:autoSpaceDE w:val="0"/>
              <w:autoSpaceDN w:val="0"/>
              <w:adjustRightInd w:val="0"/>
              <w:jc w:val="both"/>
              <w:rPr>
                <w:rFonts w:ascii="Times New Roman" w:hAnsi="Times New Roman" w:cs="Times New Roman"/>
                <w:color w:val="000000"/>
                <w:sz w:val="20"/>
                <w:szCs w:val="20"/>
              </w:rPr>
            </w:pPr>
            <w:r>
              <w:rPr>
                <w:rFonts w:ascii="Times New Roman" w:hAnsi="Times New Roman"/>
                <w:color w:val="000000"/>
                <w:sz w:val="20"/>
                <w:szCs w:val="20"/>
              </w:rPr>
              <w:t>Eksperimentalni ili teoretski rad kojemu je cilj stjecanje novih znanja o temeljnim načelima određenog fenomena ili vidljivih činjenica i koje nije primarno usmjereno prema određenom cilju.</w:t>
            </w:r>
          </w:p>
        </w:tc>
      </w:tr>
      <w:tr w:rsidR="00F169B5" w:rsidRPr="006D0A4B" w14:paraId="1F732BCE" w14:textId="77777777" w:rsidTr="00D90FAB">
        <w:trPr>
          <w:trHeight w:val="260"/>
        </w:trPr>
        <w:tc>
          <w:tcPr>
            <w:tcW w:w="1548" w:type="dxa"/>
          </w:tcPr>
          <w:p w14:paraId="69E15031" w14:textId="77777777" w:rsidR="00F169B5" w:rsidRPr="001D6FDC" w:rsidRDefault="00F169B5" w:rsidP="00D90FAB">
            <w:pPr>
              <w:autoSpaceDE w:val="0"/>
              <w:autoSpaceDN w:val="0"/>
              <w:adjustRightInd w:val="0"/>
              <w:spacing w:line="276" w:lineRule="auto"/>
              <w:rPr>
                <w:rFonts w:ascii="Times New Roman" w:hAnsi="Times New Roman" w:cs="Times New Roman"/>
                <w:b/>
                <w:sz w:val="20"/>
                <w:szCs w:val="20"/>
              </w:rPr>
            </w:pPr>
            <w:r>
              <w:rPr>
                <w:rFonts w:ascii="Times New Roman" w:hAnsi="Times New Roman"/>
                <w:b/>
                <w:sz w:val="20"/>
                <w:szCs w:val="20"/>
              </w:rPr>
              <w:t xml:space="preserve">Temeljno istraživanje   </w:t>
            </w:r>
          </w:p>
        </w:tc>
        <w:tc>
          <w:tcPr>
            <w:tcW w:w="8190" w:type="dxa"/>
          </w:tcPr>
          <w:p w14:paraId="03CE6130" w14:textId="77777777" w:rsidR="00F169B5" w:rsidRPr="006D0A4B" w:rsidRDefault="00F169B5" w:rsidP="00D90FAB">
            <w:pPr>
              <w:autoSpaceDE w:val="0"/>
              <w:autoSpaceDN w:val="0"/>
              <w:adjustRightInd w:val="0"/>
              <w:jc w:val="both"/>
              <w:rPr>
                <w:rFonts w:ascii="Times New Roman" w:hAnsi="Times New Roman" w:cs="Times New Roman"/>
                <w:color w:val="000000"/>
                <w:sz w:val="20"/>
                <w:szCs w:val="20"/>
              </w:rPr>
            </w:pPr>
            <w:r>
              <w:rPr>
                <w:rFonts w:ascii="Times New Roman" w:hAnsi="Times New Roman"/>
                <w:color w:val="000000"/>
                <w:sz w:val="20"/>
                <w:szCs w:val="20"/>
              </w:rPr>
              <w:t>Osnovno ili primijenjeno istraživanje u znanosti i tehnologiji (koje obično obavlja ili provodi akreditirana akademska institucija) u kojem se rezultati obično objavljuju i dijele diljem znanstvene zajednice. Temeljno istraživanje razlikuje se od istraživanja koje za rezultat ima informacije koje su ograničene zbog vlasničkih razloga ili nacionalne sigurnosti te stoga nije podložno strateškoj kontroli trgovine.</w:t>
            </w:r>
          </w:p>
        </w:tc>
      </w:tr>
      <w:tr w:rsidR="00F169B5" w:rsidRPr="006D0A4B" w14:paraId="05230FF1" w14:textId="77777777" w:rsidTr="00D90FAB">
        <w:trPr>
          <w:trHeight w:val="638"/>
        </w:trPr>
        <w:tc>
          <w:tcPr>
            <w:tcW w:w="1548" w:type="dxa"/>
          </w:tcPr>
          <w:p w14:paraId="20644E9C" w14:textId="77777777" w:rsidR="00F169B5" w:rsidRPr="001D6FDC" w:rsidRDefault="00F169B5" w:rsidP="00D90FAB">
            <w:pPr>
              <w:autoSpaceDE w:val="0"/>
              <w:autoSpaceDN w:val="0"/>
              <w:adjustRightInd w:val="0"/>
              <w:spacing w:line="276" w:lineRule="auto"/>
              <w:rPr>
                <w:rFonts w:ascii="Times New Roman" w:hAnsi="Times New Roman" w:cs="Times New Roman"/>
                <w:b/>
                <w:sz w:val="20"/>
                <w:szCs w:val="20"/>
              </w:rPr>
            </w:pPr>
            <w:r>
              <w:rPr>
                <w:rFonts w:ascii="Times New Roman" w:hAnsi="Times New Roman"/>
                <w:b/>
                <w:sz w:val="20"/>
                <w:szCs w:val="20"/>
              </w:rPr>
              <w:t>U javnoj domeni</w:t>
            </w:r>
          </w:p>
        </w:tc>
        <w:tc>
          <w:tcPr>
            <w:tcW w:w="8190" w:type="dxa"/>
          </w:tcPr>
          <w:p w14:paraId="4328892B" w14:textId="74A8565C" w:rsidR="00F169B5" w:rsidRPr="006D0A4B" w:rsidRDefault="00F604C6" w:rsidP="00D90FAB">
            <w:pPr>
              <w:autoSpaceDE w:val="0"/>
              <w:autoSpaceDN w:val="0"/>
              <w:adjustRightInd w:val="0"/>
              <w:jc w:val="both"/>
              <w:rPr>
                <w:rFonts w:ascii="Times New Roman" w:hAnsi="Times New Roman" w:cs="Times New Roman"/>
                <w:sz w:val="20"/>
                <w:szCs w:val="20"/>
              </w:rPr>
            </w:pPr>
            <w:r>
              <w:rPr>
                <w:rFonts w:ascii="Times New Roman" w:hAnsi="Times New Roman"/>
                <w:sz w:val="20"/>
                <w:szCs w:val="20"/>
              </w:rPr>
              <w:t>Informacije koje su objavljen</w:t>
            </w:r>
            <w:r w:rsidR="00F169B5">
              <w:rPr>
                <w:rFonts w:ascii="Times New Roman" w:hAnsi="Times New Roman"/>
                <w:sz w:val="20"/>
                <w:szCs w:val="20"/>
              </w:rPr>
              <w:t xml:space="preserve">e, koje su općenito dostupne ili </w:t>
            </w:r>
            <w:r>
              <w:rPr>
                <w:rFonts w:ascii="Times New Roman" w:hAnsi="Times New Roman"/>
                <w:sz w:val="20"/>
                <w:szCs w:val="20"/>
              </w:rPr>
              <w:t xml:space="preserve">koje su </w:t>
            </w:r>
            <w:r w:rsidR="00F169B5">
              <w:rPr>
                <w:rFonts w:ascii="Times New Roman" w:hAnsi="Times New Roman"/>
                <w:sz w:val="20"/>
                <w:szCs w:val="20"/>
              </w:rPr>
              <w:t>na raspolaganju javnosti. To uključuje „tehnologiju” ili „program” koj</w:t>
            </w:r>
            <w:r>
              <w:rPr>
                <w:rFonts w:ascii="Times New Roman" w:hAnsi="Times New Roman"/>
                <w:sz w:val="20"/>
                <w:szCs w:val="20"/>
              </w:rPr>
              <w:t>i je dostupan bez ograničenja njegove daljnje distribucije</w:t>
            </w:r>
            <w:bookmarkStart w:id="0" w:name="_GoBack"/>
            <w:bookmarkEnd w:id="0"/>
            <w:r w:rsidR="00F169B5">
              <w:rPr>
                <w:rFonts w:ascii="Times New Roman" w:hAnsi="Times New Roman"/>
                <w:sz w:val="20"/>
                <w:szCs w:val="20"/>
              </w:rPr>
              <w:t>.</w:t>
            </w:r>
          </w:p>
        </w:tc>
      </w:tr>
    </w:tbl>
    <w:p w14:paraId="6802E370" w14:textId="1ED92CAD" w:rsidR="00E61CC8" w:rsidRPr="00E60E0C" w:rsidRDefault="00E61CC8" w:rsidP="00E60E0C">
      <w:pPr>
        <w:autoSpaceDE w:val="0"/>
        <w:autoSpaceDN w:val="0"/>
        <w:adjustRightInd w:val="0"/>
        <w:spacing w:after="0" w:line="240" w:lineRule="auto"/>
        <w:jc w:val="center"/>
        <w:rPr>
          <w:rFonts w:ascii="Arial" w:eastAsia="Times New Roman" w:hAnsi="Arial" w:cs="Arial"/>
          <w:iCs/>
          <w:sz w:val="18"/>
          <w:szCs w:val="18"/>
        </w:rPr>
      </w:pPr>
    </w:p>
    <w:sectPr w:rsidR="00E61CC8" w:rsidRPr="00E60E0C" w:rsidSect="00E60E0C">
      <w:footerReference w:type="default" r:id="rId12"/>
      <w:endnotePr>
        <w:numFmt w:val="decimal"/>
      </w:endnotePr>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DC8E1" w14:textId="77777777" w:rsidR="00AA01C8" w:rsidRDefault="00AA01C8">
      <w:pPr>
        <w:spacing w:after="0" w:line="240" w:lineRule="auto"/>
      </w:pPr>
      <w:r>
        <w:separator/>
      </w:r>
    </w:p>
  </w:endnote>
  <w:endnote w:type="continuationSeparator" w:id="0">
    <w:p w14:paraId="0CE48E0C" w14:textId="77777777" w:rsidR="00AA01C8" w:rsidRDefault="00AA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617465"/>
      <w:docPartObj>
        <w:docPartGallery w:val="Page Numbers (Bottom of Page)"/>
        <w:docPartUnique/>
      </w:docPartObj>
    </w:sdtPr>
    <w:sdtEndPr>
      <w:rPr>
        <w:noProof/>
      </w:rPr>
    </w:sdtEndPr>
    <w:sdtContent>
      <w:p w14:paraId="2F255323" w14:textId="6EA98707" w:rsidR="001D6FDC" w:rsidRDefault="001D6FDC">
        <w:pPr>
          <w:pStyle w:val="Footer"/>
          <w:jc w:val="right"/>
        </w:pPr>
        <w:r>
          <w:fldChar w:fldCharType="begin"/>
        </w:r>
        <w:r>
          <w:instrText xml:space="preserve"> PAGE   \* MERGEFORMAT </w:instrText>
        </w:r>
        <w:r>
          <w:fldChar w:fldCharType="separate"/>
        </w:r>
        <w:r w:rsidR="00F604C6">
          <w:rPr>
            <w:noProof/>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50C37" w14:textId="77777777" w:rsidR="00AA01C8" w:rsidRDefault="00AA01C8">
      <w:pPr>
        <w:spacing w:after="0" w:line="240" w:lineRule="auto"/>
      </w:pPr>
      <w:r>
        <w:separator/>
      </w:r>
    </w:p>
  </w:footnote>
  <w:footnote w:type="continuationSeparator" w:id="0">
    <w:p w14:paraId="31839707" w14:textId="77777777" w:rsidR="00AA01C8" w:rsidRDefault="00AA01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502"/>
    <w:multiLevelType w:val="hybridMultilevel"/>
    <w:tmpl w:val="1AE8B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36FD7"/>
    <w:multiLevelType w:val="hybridMultilevel"/>
    <w:tmpl w:val="4838F3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2077332"/>
    <w:multiLevelType w:val="hybridMultilevel"/>
    <w:tmpl w:val="71C40F82"/>
    <w:lvl w:ilvl="0" w:tplc="04090005">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9720B0"/>
    <w:multiLevelType w:val="hybridMultilevel"/>
    <w:tmpl w:val="571A1A76"/>
    <w:lvl w:ilvl="0" w:tplc="DEA63762">
      <w:start w:val="1"/>
      <w:numFmt w:val="bullet"/>
      <w:lvlText w:val=""/>
      <w:lvlJc w:val="left"/>
      <w:pPr>
        <w:ind w:left="720" w:hanging="360"/>
      </w:pPr>
      <w:rPr>
        <w:rFonts w:ascii="Wingdings" w:hAnsi="Wingdings" w:hint="default"/>
        <w:b/>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E577E"/>
    <w:multiLevelType w:val="hybridMultilevel"/>
    <w:tmpl w:val="1E84154E"/>
    <w:lvl w:ilvl="0" w:tplc="CA2C8B2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821AB"/>
    <w:multiLevelType w:val="hybridMultilevel"/>
    <w:tmpl w:val="587E5572"/>
    <w:lvl w:ilvl="0" w:tplc="9D3A2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92D57"/>
    <w:multiLevelType w:val="hybridMultilevel"/>
    <w:tmpl w:val="CB82EE3E"/>
    <w:lvl w:ilvl="0" w:tplc="619ABDE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070BA"/>
    <w:multiLevelType w:val="hybridMultilevel"/>
    <w:tmpl w:val="953E08F6"/>
    <w:lvl w:ilvl="0" w:tplc="04090005">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56F59A3"/>
    <w:multiLevelType w:val="hybridMultilevel"/>
    <w:tmpl w:val="23247E7E"/>
    <w:lvl w:ilvl="0" w:tplc="0B449F0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41B57"/>
    <w:multiLevelType w:val="hybridMultilevel"/>
    <w:tmpl w:val="B32EA17E"/>
    <w:lvl w:ilvl="0" w:tplc="04BCF57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B7B7D"/>
    <w:multiLevelType w:val="hybridMultilevel"/>
    <w:tmpl w:val="E1B4666C"/>
    <w:lvl w:ilvl="0" w:tplc="DB5E5A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10B99"/>
    <w:multiLevelType w:val="hybridMultilevel"/>
    <w:tmpl w:val="547A2686"/>
    <w:lvl w:ilvl="0" w:tplc="29FC36FC">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EA0697"/>
    <w:multiLevelType w:val="hybridMultilevel"/>
    <w:tmpl w:val="05DC3C88"/>
    <w:lvl w:ilvl="0" w:tplc="04090005">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E03F5F"/>
    <w:multiLevelType w:val="hybridMultilevel"/>
    <w:tmpl w:val="CE645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176B19"/>
    <w:multiLevelType w:val="hybridMultilevel"/>
    <w:tmpl w:val="F2147F28"/>
    <w:lvl w:ilvl="0" w:tplc="C758015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971622"/>
    <w:multiLevelType w:val="hybridMultilevel"/>
    <w:tmpl w:val="19763684"/>
    <w:lvl w:ilvl="0" w:tplc="E3C0CBF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91C63"/>
    <w:multiLevelType w:val="hybridMultilevel"/>
    <w:tmpl w:val="E7DA1474"/>
    <w:lvl w:ilvl="0" w:tplc="224286E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54AC1"/>
    <w:multiLevelType w:val="hybridMultilevel"/>
    <w:tmpl w:val="A0D6DCC2"/>
    <w:lvl w:ilvl="0" w:tplc="04090005">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A41625"/>
    <w:multiLevelType w:val="hybridMultilevel"/>
    <w:tmpl w:val="8DE29444"/>
    <w:lvl w:ilvl="0" w:tplc="63FE8DC4">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C32474"/>
    <w:multiLevelType w:val="hybridMultilevel"/>
    <w:tmpl w:val="7A628742"/>
    <w:lvl w:ilvl="0" w:tplc="0409000F">
      <w:start w:val="1"/>
      <w:numFmt w:val="decimal"/>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F1737"/>
    <w:multiLevelType w:val="hybridMultilevel"/>
    <w:tmpl w:val="A4B43E5A"/>
    <w:lvl w:ilvl="0" w:tplc="62885B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0213B"/>
    <w:multiLevelType w:val="hybridMultilevel"/>
    <w:tmpl w:val="F55C8260"/>
    <w:lvl w:ilvl="0" w:tplc="04090005">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46BDD"/>
    <w:multiLevelType w:val="hybridMultilevel"/>
    <w:tmpl w:val="B032143E"/>
    <w:lvl w:ilvl="0" w:tplc="D53AD222">
      <w:start w:val="1"/>
      <w:numFmt w:val="decimal"/>
      <w:lvlText w:val="%1."/>
      <w:lvlJc w:val="left"/>
      <w:pPr>
        <w:tabs>
          <w:tab w:val="num" w:pos="360"/>
        </w:tabs>
        <w:ind w:left="360" w:hanging="360"/>
      </w:pPr>
      <w:rPr>
        <w:b/>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443BB9"/>
    <w:multiLevelType w:val="hybridMultilevel"/>
    <w:tmpl w:val="3CE45638"/>
    <w:lvl w:ilvl="0" w:tplc="04090005">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1A5010"/>
    <w:multiLevelType w:val="hybridMultilevel"/>
    <w:tmpl w:val="A226F9AE"/>
    <w:lvl w:ilvl="0" w:tplc="04090005">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57F09"/>
    <w:multiLevelType w:val="hybridMultilevel"/>
    <w:tmpl w:val="32CC28DE"/>
    <w:lvl w:ilvl="0" w:tplc="1CE033AE">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E1AF6"/>
    <w:multiLevelType w:val="hybridMultilevel"/>
    <w:tmpl w:val="065C5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530959"/>
    <w:multiLevelType w:val="hybridMultilevel"/>
    <w:tmpl w:val="1F3A7AF2"/>
    <w:lvl w:ilvl="0" w:tplc="3224D85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A1DB4"/>
    <w:multiLevelType w:val="hybridMultilevel"/>
    <w:tmpl w:val="552E5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437FA"/>
    <w:multiLevelType w:val="hybridMultilevel"/>
    <w:tmpl w:val="7E8E9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FB3062"/>
    <w:multiLevelType w:val="hybridMultilevel"/>
    <w:tmpl w:val="DCEA8D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35A1A"/>
    <w:multiLevelType w:val="hybridMultilevel"/>
    <w:tmpl w:val="9B06C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23491B"/>
    <w:multiLevelType w:val="hybridMultilevel"/>
    <w:tmpl w:val="A51EE318"/>
    <w:lvl w:ilvl="0" w:tplc="0409000B">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007407"/>
    <w:multiLevelType w:val="hybridMultilevel"/>
    <w:tmpl w:val="EACE6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0"/>
  </w:num>
  <w:num w:numId="4">
    <w:abstractNumId w:val="22"/>
  </w:num>
  <w:num w:numId="5">
    <w:abstractNumId w:val="26"/>
  </w:num>
  <w:num w:numId="6">
    <w:abstractNumId w:val="1"/>
  </w:num>
  <w:num w:numId="7">
    <w:abstractNumId w:val="25"/>
  </w:num>
  <w:num w:numId="8">
    <w:abstractNumId w:val="16"/>
  </w:num>
  <w:num w:numId="9">
    <w:abstractNumId w:val="31"/>
  </w:num>
  <w:num w:numId="10">
    <w:abstractNumId w:val="4"/>
  </w:num>
  <w:num w:numId="11">
    <w:abstractNumId w:val="30"/>
  </w:num>
  <w:num w:numId="12">
    <w:abstractNumId w:val="6"/>
  </w:num>
  <w:num w:numId="13">
    <w:abstractNumId w:val="27"/>
  </w:num>
  <w:num w:numId="14">
    <w:abstractNumId w:val="13"/>
  </w:num>
  <w:num w:numId="15">
    <w:abstractNumId w:val="11"/>
  </w:num>
  <w:num w:numId="16">
    <w:abstractNumId w:val="9"/>
  </w:num>
  <w:num w:numId="17">
    <w:abstractNumId w:val="18"/>
  </w:num>
  <w:num w:numId="18">
    <w:abstractNumId w:val="32"/>
  </w:num>
  <w:num w:numId="19">
    <w:abstractNumId w:val="12"/>
  </w:num>
  <w:num w:numId="20">
    <w:abstractNumId w:val="21"/>
  </w:num>
  <w:num w:numId="21">
    <w:abstractNumId w:val="23"/>
  </w:num>
  <w:num w:numId="22">
    <w:abstractNumId w:val="2"/>
  </w:num>
  <w:num w:numId="23">
    <w:abstractNumId w:val="17"/>
  </w:num>
  <w:num w:numId="24">
    <w:abstractNumId w:val="24"/>
  </w:num>
  <w:num w:numId="25">
    <w:abstractNumId w:val="3"/>
  </w:num>
  <w:num w:numId="26">
    <w:abstractNumId w:val="7"/>
  </w:num>
  <w:num w:numId="27">
    <w:abstractNumId w:val="33"/>
  </w:num>
  <w:num w:numId="28">
    <w:abstractNumId w:val="29"/>
  </w:num>
  <w:num w:numId="29">
    <w:abstractNumId w:val="8"/>
  </w:num>
  <w:num w:numId="30">
    <w:abstractNumId w:val="15"/>
  </w:num>
  <w:num w:numId="31">
    <w:abstractNumId w:val="19"/>
  </w:num>
  <w:num w:numId="32">
    <w:abstractNumId w:val="28"/>
  </w:num>
  <w:num w:numId="33">
    <w:abstractNumId w:val="5"/>
  </w:num>
  <w:num w:numId="3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C0"/>
    <w:rsid w:val="0000289A"/>
    <w:rsid w:val="00003572"/>
    <w:rsid w:val="000068E0"/>
    <w:rsid w:val="0001718E"/>
    <w:rsid w:val="00022FE1"/>
    <w:rsid w:val="00026687"/>
    <w:rsid w:val="0003444C"/>
    <w:rsid w:val="00064B61"/>
    <w:rsid w:val="00067593"/>
    <w:rsid w:val="00087AC9"/>
    <w:rsid w:val="00091CC0"/>
    <w:rsid w:val="000A3765"/>
    <w:rsid w:val="000B4B67"/>
    <w:rsid w:val="000B4CD4"/>
    <w:rsid w:val="000D31B9"/>
    <w:rsid w:val="000D75BB"/>
    <w:rsid w:val="0011642F"/>
    <w:rsid w:val="001301FE"/>
    <w:rsid w:val="001342FD"/>
    <w:rsid w:val="00173558"/>
    <w:rsid w:val="00174C9F"/>
    <w:rsid w:val="00181410"/>
    <w:rsid w:val="00191F1D"/>
    <w:rsid w:val="00192D17"/>
    <w:rsid w:val="001A07D0"/>
    <w:rsid w:val="001A1D23"/>
    <w:rsid w:val="001A5F84"/>
    <w:rsid w:val="001B087B"/>
    <w:rsid w:val="001D0473"/>
    <w:rsid w:val="001D1EE3"/>
    <w:rsid w:val="001D6FDC"/>
    <w:rsid w:val="001F2EBB"/>
    <w:rsid w:val="00203356"/>
    <w:rsid w:val="00206019"/>
    <w:rsid w:val="00210AD4"/>
    <w:rsid w:val="002136CF"/>
    <w:rsid w:val="00286F81"/>
    <w:rsid w:val="00295188"/>
    <w:rsid w:val="002A3823"/>
    <w:rsid w:val="002C063F"/>
    <w:rsid w:val="002C1D64"/>
    <w:rsid w:val="002C611D"/>
    <w:rsid w:val="002C7954"/>
    <w:rsid w:val="002D7BB0"/>
    <w:rsid w:val="002E4479"/>
    <w:rsid w:val="002F5FD7"/>
    <w:rsid w:val="00316867"/>
    <w:rsid w:val="00365998"/>
    <w:rsid w:val="00374114"/>
    <w:rsid w:val="00376652"/>
    <w:rsid w:val="003966D6"/>
    <w:rsid w:val="003A44D0"/>
    <w:rsid w:val="003C2FF3"/>
    <w:rsid w:val="003C6817"/>
    <w:rsid w:val="003C7772"/>
    <w:rsid w:val="003E702C"/>
    <w:rsid w:val="00400FE8"/>
    <w:rsid w:val="00412010"/>
    <w:rsid w:val="004239DB"/>
    <w:rsid w:val="004317C1"/>
    <w:rsid w:val="00461C6C"/>
    <w:rsid w:val="00484401"/>
    <w:rsid w:val="00487654"/>
    <w:rsid w:val="004A77CD"/>
    <w:rsid w:val="004B5E93"/>
    <w:rsid w:val="004D67ED"/>
    <w:rsid w:val="00505A0A"/>
    <w:rsid w:val="0052317C"/>
    <w:rsid w:val="00524B8F"/>
    <w:rsid w:val="00526DDD"/>
    <w:rsid w:val="005307FE"/>
    <w:rsid w:val="00530DFF"/>
    <w:rsid w:val="00531A63"/>
    <w:rsid w:val="005324CC"/>
    <w:rsid w:val="00547E7D"/>
    <w:rsid w:val="00577871"/>
    <w:rsid w:val="00581DD7"/>
    <w:rsid w:val="0058220F"/>
    <w:rsid w:val="00593BA9"/>
    <w:rsid w:val="00596426"/>
    <w:rsid w:val="005A48FF"/>
    <w:rsid w:val="005C356A"/>
    <w:rsid w:val="005C7FC2"/>
    <w:rsid w:val="005D3D4F"/>
    <w:rsid w:val="005F1025"/>
    <w:rsid w:val="00603AF6"/>
    <w:rsid w:val="006111D0"/>
    <w:rsid w:val="00614212"/>
    <w:rsid w:val="00652340"/>
    <w:rsid w:val="00654CE9"/>
    <w:rsid w:val="00657DFB"/>
    <w:rsid w:val="00665562"/>
    <w:rsid w:val="00671641"/>
    <w:rsid w:val="006A273C"/>
    <w:rsid w:val="006C6A67"/>
    <w:rsid w:val="006D0A4B"/>
    <w:rsid w:val="006E1FE9"/>
    <w:rsid w:val="006E4FCD"/>
    <w:rsid w:val="006F1532"/>
    <w:rsid w:val="00722422"/>
    <w:rsid w:val="0072463E"/>
    <w:rsid w:val="0073015A"/>
    <w:rsid w:val="007517EC"/>
    <w:rsid w:val="00761DC9"/>
    <w:rsid w:val="00766E8F"/>
    <w:rsid w:val="007712A6"/>
    <w:rsid w:val="00796873"/>
    <w:rsid w:val="007A1F6B"/>
    <w:rsid w:val="007B16CF"/>
    <w:rsid w:val="007E60F5"/>
    <w:rsid w:val="007F2326"/>
    <w:rsid w:val="007F5051"/>
    <w:rsid w:val="00802DE2"/>
    <w:rsid w:val="00807E6E"/>
    <w:rsid w:val="008269B3"/>
    <w:rsid w:val="00845437"/>
    <w:rsid w:val="0086593B"/>
    <w:rsid w:val="00872424"/>
    <w:rsid w:val="00882DEF"/>
    <w:rsid w:val="00897610"/>
    <w:rsid w:val="008B31E4"/>
    <w:rsid w:val="008C15DB"/>
    <w:rsid w:val="008C1BAD"/>
    <w:rsid w:val="008C65F0"/>
    <w:rsid w:val="008C7492"/>
    <w:rsid w:val="008D13B0"/>
    <w:rsid w:val="00917869"/>
    <w:rsid w:val="00931B81"/>
    <w:rsid w:val="00961858"/>
    <w:rsid w:val="00973378"/>
    <w:rsid w:val="009B21BC"/>
    <w:rsid w:val="009C2B2A"/>
    <w:rsid w:val="009C3E58"/>
    <w:rsid w:val="009C6796"/>
    <w:rsid w:val="009F5EF8"/>
    <w:rsid w:val="00A0767B"/>
    <w:rsid w:val="00A15AB1"/>
    <w:rsid w:val="00A331FD"/>
    <w:rsid w:val="00A611DC"/>
    <w:rsid w:val="00A754A7"/>
    <w:rsid w:val="00A93259"/>
    <w:rsid w:val="00AA01C8"/>
    <w:rsid w:val="00AC21A2"/>
    <w:rsid w:val="00AE633C"/>
    <w:rsid w:val="00AF127E"/>
    <w:rsid w:val="00B0491B"/>
    <w:rsid w:val="00B1680C"/>
    <w:rsid w:val="00B27845"/>
    <w:rsid w:val="00B44CE1"/>
    <w:rsid w:val="00B470ED"/>
    <w:rsid w:val="00B55081"/>
    <w:rsid w:val="00B64C44"/>
    <w:rsid w:val="00B70261"/>
    <w:rsid w:val="00B72903"/>
    <w:rsid w:val="00B760CA"/>
    <w:rsid w:val="00B824F0"/>
    <w:rsid w:val="00BB3F73"/>
    <w:rsid w:val="00BC22F1"/>
    <w:rsid w:val="00BC788A"/>
    <w:rsid w:val="00BE6F52"/>
    <w:rsid w:val="00BF5F60"/>
    <w:rsid w:val="00C06C73"/>
    <w:rsid w:val="00C15A57"/>
    <w:rsid w:val="00C17689"/>
    <w:rsid w:val="00C572D5"/>
    <w:rsid w:val="00C70FC2"/>
    <w:rsid w:val="00CA048E"/>
    <w:rsid w:val="00CA7AE5"/>
    <w:rsid w:val="00CB50FC"/>
    <w:rsid w:val="00CE7D93"/>
    <w:rsid w:val="00D14753"/>
    <w:rsid w:val="00D26308"/>
    <w:rsid w:val="00D5135D"/>
    <w:rsid w:val="00D538BE"/>
    <w:rsid w:val="00D73F9A"/>
    <w:rsid w:val="00DA1DCE"/>
    <w:rsid w:val="00DB12EE"/>
    <w:rsid w:val="00DC0F2B"/>
    <w:rsid w:val="00DE15F9"/>
    <w:rsid w:val="00DE47C5"/>
    <w:rsid w:val="00DF718C"/>
    <w:rsid w:val="00E1025C"/>
    <w:rsid w:val="00E216FC"/>
    <w:rsid w:val="00E33AA8"/>
    <w:rsid w:val="00E41B5C"/>
    <w:rsid w:val="00E42149"/>
    <w:rsid w:val="00E46010"/>
    <w:rsid w:val="00E56BAE"/>
    <w:rsid w:val="00E60E0C"/>
    <w:rsid w:val="00E61CC8"/>
    <w:rsid w:val="00E72F98"/>
    <w:rsid w:val="00E9120C"/>
    <w:rsid w:val="00EA4D8E"/>
    <w:rsid w:val="00EA6C9F"/>
    <w:rsid w:val="00ED51E9"/>
    <w:rsid w:val="00F058AC"/>
    <w:rsid w:val="00F14F96"/>
    <w:rsid w:val="00F15345"/>
    <w:rsid w:val="00F169B5"/>
    <w:rsid w:val="00F352D6"/>
    <w:rsid w:val="00F604C6"/>
    <w:rsid w:val="00F629A3"/>
    <w:rsid w:val="00F674D9"/>
    <w:rsid w:val="00F854BB"/>
    <w:rsid w:val="00FA6C3F"/>
    <w:rsid w:val="00FB7270"/>
    <w:rsid w:val="00FC061A"/>
    <w:rsid w:val="00FC1D23"/>
    <w:rsid w:val="00FE3EED"/>
    <w:rsid w:val="00FE5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D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C0"/>
  </w:style>
  <w:style w:type="paragraph" w:styleId="Heading1">
    <w:name w:val="heading 1"/>
    <w:basedOn w:val="Normal"/>
    <w:next w:val="Normal"/>
    <w:link w:val="Heading1Char"/>
    <w:uiPriority w:val="99"/>
    <w:qFormat/>
    <w:rsid w:val="00091CC0"/>
    <w:pPr>
      <w:keepNext/>
      <w:spacing w:after="0" w:line="240" w:lineRule="auto"/>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1CC0"/>
    <w:rPr>
      <w:rFonts w:ascii="Times New Roman" w:eastAsia="Times New Roman" w:hAnsi="Times New Roman" w:cs="Times New Roman"/>
      <w:b/>
      <w:bCs/>
      <w:sz w:val="28"/>
      <w:szCs w:val="28"/>
    </w:rPr>
  </w:style>
  <w:style w:type="paragraph" w:styleId="ListParagraph">
    <w:name w:val="List Paragraph"/>
    <w:basedOn w:val="Normal"/>
    <w:uiPriority w:val="34"/>
    <w:qFormat/>
    <w:rsid w:val="00091CC0"/>
    <w:pPr>
      <w:ind w:left="720"/>
      <w:contextualSpacing/>
    </w:pPr>
  </w:style>
  <w:style w:type="character" w:styleId="Hyperlink">
    <w:name w:val="Hyperlink"/>
    <w:basedOn w:val="DefaultParagraphFont"/>
    <w:rsid w:val="00091CC0"/>
    <w:rPr>
      <w:color w:val="0000FF"/>
      <w:u w:val="single"/>
    </w:rPr>
  </w:style>
  <w:style w:type="paragraph" w:styleId="Footer">
    <w:name w:val="footer"/>
    <w:basedOn w:val="Normal"/>
    <w:link w:val="FooterChar"/>
    <w:uiPriority w:val="99"/>
    <w:unhideWhenUsed/>
    <w:rsid w:val="00091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CC0"/>
  </w:style>
  <w:style w:type="paragraph" w:styleId="BalloonText">
    <w:name w:val="Balloon Text"/>
    <w:basedOn w:val="Normal"/>
    <w:link w:val="BalloonTextChar"/>
    <w:uiPriority w:val="99"/>
    <w:semiHidden/>
    <w:unhideWhenUsed/>
    <w:rsid w:val="00F6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D9"/>
    <w:rPr>
      <w:rFonts w:ascii="Tahoma" w:hAnsi="Tahoma" w:cs="Tahoma"/>
      <w:sz w:val="16"/>
      <w:szCs w:val="16"/>
    </w:rPr>
  </w:style>
  <w:style w:type="paragraph" w:styleId="EndnoteText">
    <w:name w:val="endnote text"/>
    <w:basedOn w:val="Normal"/>
    <w:link w:val="EndnoteTextChar"/>
    <w:uiPriority w:val="99"/>
    <w:semiHidden/>
    <w:unhideWhenUsed/>
    <w:rsid w:val="006E1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FE9"/>
    <w:rPr>
      <w:sz w:val="20"/>
      <w:szCs w:val="20"/>
    </w:rPr>
  </w:style>
  <w:style w:type="character" w:styleId="EndnoteReference">
    <w:name w:val="endnote reference"/>
    <w:basedOn w:val="DefaultParagraphFont"/>
    <w:unhideWhenUsed/>
    <w:rsid w:val="006E1FE9"/>
    <w:rPr>
      <w:vertAlign w:val="superscript"/>
    </w:rPr>
  </w:style>
  <w:style w:type="paragraph" w:customStyle="1" w:styleId="Default">
    <w:name w:val="Default"/>
    <w:rsid w:val="0065234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26687"/>
    <w:rPr>
      <w:color w:val="800080" w:themeColor="followedHyperlink"/>
      <w:u w:val="single"/>
    </w:rPr>
  </w:style>
  <w:style w:type="character" w:styleId="CommentReference">
    <w:name w:val="annotation reference"/>
    <w:basedOn w:val="DefaultParagraphFont"/>
    <w:uiPriority w:val="99"/>
    <w:semiHidden/>
    <w:unhideWhenUsed/>
    <w:rsid w:val="003966D6"/>
    <w:rPr>
      <w:sz w:val="16"/>
      <w:szCs w:val="16"/>
    </w:rPr>
  </w:style>
  <w:style w:type="paragraph" w:styleId="CommentText">
    <w:name w:val="annotation text"/>
    <w:basedOn w:val="Normal"/>
    <w:link w:val="CommentTextChar"/>
    <w:uiPriority w:val="99"/>
    <w:unhideWhenUsed/>
    <w:rsid w:val="003966D6"/>
    <w:pPr>
      <w:spacing w:line="240" w:lineRule="auto"/>
    </w:pPr>
    <w:rPr>
      <w:sz w:val="20"/>
      <w:szCs w:val="20"/>
    </w:rPr>
  </w:style>
  <w:style w:type="character" w:customStyle="1" w:styleId="CommentTextChar">
    <w:name w:val="Comment Text Char"/>
    <w:basedOn w:val="DefaultParagraphFont"/>
    <w:link w:val="CommentText"/>
    <w:uiPriority w:val="99"/>
    <w:rsid w:val="003966D6"/>
    <w:rPr>
      <w:sz w:val="20"/>
      <w:szCs w:val="20"/>
    </w:rPr>
  </w:style>
  <w:style w:type="paragraph" w:styleId="CommentSubject">
    <w:name w:val="annotation subject"/>
    <w:basedOn w:val="CommentText"/>
    <w:next w:val="CommentText"/>
    <w:link w:val="CommentSubjectChar"/>
    <w:uiPriority w:val="99"/>
    <w:semiHidden/>
    <w:unhideWhenUsed/>
    <w:rsid w:val="00191F1D"/>
    <w:rPr>
      <w:b/>
      <w:bCs/>
    </w:rPr>
  </w:style>
  <w:style w:type="character" w:customStyle="1" w:styleId="CommentSubjectChar">
    <w:name w:val="Comment Subject Char"/>
    <w:basedOn w:val="CommentTextChar"/>
    <w:link w:val="CommentSubject"/>
    <w:uiPriority w:val="99"/>
    <w:semiHidden/>
    <w:rsid w:val="00191F1D"/>
    <w:rPr>
      <w:b/>
      <w:bCs/>
      <w:sz w:val="20"/>
      <w:szCs w:val="20"/>
    </w:rPr>
  </w:style>
  <w:style w:type="table" w:styleId="TableGrid">
    <w:name w:val="Table Grid"/>
    <w:basedOn w:val="TableNormal"/>
    <w:uiPriority w:val="59"/>
    <w:rsid w:val="006D0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0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E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C0"/>
  </w:style>
  <w:style w:type="paragraph" w:styleId="Heading1">
    <w:name w:val="heading 1"/>
    <w:basedOn w:val="Normal"/>
    <w:next w:val="Normal"/>
    <w:link w:val="Heading1Char"/>
    <w:uiPriority w:val="99"/>
    <w:qFormat/>
    <w:rsid w:val="00091CC0"/>
    <w:pPr>
      <w:keepNext/>
      <w:spacing w:after="0" w:line="240" w:lineRule="auto"/>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1CC0"/>
    <w:rPr>
      <w:rFonts w:ascii="Times New Roman" w:eastAsia="Times New Roman" w:hAnsi="Times New Roman" w:cs="Times New Roman"/>
      <w:b/>
      <w:bCs/>
      <w:sz w:val="28"/>
      <w:szCs w:val="28"/>
    </w:rPr>
  </w:style>
  <w:style w:type="paragraph" w:styleId="ListParagraph">
    <w:name w:val="List Paragraph"/>
    <w:basedOn w:val="Normal"/>
    <w:uiPriority w:val="34"/>
    <w:qFormat/>
    <w:rsid w:val="00091CC0"/>
    <w:pPr>
      <w:ind w:left="720"/>
      <w:contextualSpacing/>
    </w:pPr>
  </w:style>
  <w:style w:type="character" w:styleId="Hyperlink">
    <w:name w:val="Hyperlink"/>
    <w:basedOn w:val="DefaultParagraphFont"/>
    <w:rsid w:val="00091CC0"/>
    <w:rPr>
      <w:color w:val="0000FF"/>
      <w:u w:val="single"/>
    </w:rPr>
  </w:style>
  <w:style w:type="paragraph" w:styleId="Footer">
    <w:name w:val="footer"/>
    <w:basedOn w:val="Normal"/>
    <w:link w:val="FooterChar"/>
    <w:uiPriority w:val="99"/>
    <w:unhideWhenUsed/>
    <w:rsid w:val="00091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CC0"/>
  </w:style>
  <w:style w:type="paragraph" w:styleId="BalloonText">
    <w:name w:val="Balloon Text"/>
    <w:basedOn w:val="Normal"/>
    <w:link w:val="BalloonTextChar"/>
    <w:uiPriority w:val="99"/>
    <w:semiHidden/>
    <w:unhideWhenUsed/>
    <w:rsid w:val="00F6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D9"/>
    <w:rPr>
      <w:rFonts w:ascii="Tahoma" w:hAnsi="Tahoma" w:cs="Tahoma"/>
      <w:sz w:val="16"/>
      <w:szCs w:val="16"/>
    </w:rPr>
  </w:style>
  <w:style w:type="paragraph" w:styleId="EndnoteText">
    <w:name w:val="endnote text"/>
    <w:basedOn w:val="Normal"/>
    <w:link w:val="EndnoteTextChar"/>
    <w:uiPriority w:val="99"/>
    <w:semiHidden/>
    <w:unhideWhenUsed/>
    <w:rsid w:val="006E1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FE9"/>
    <w:rPr>
      <w:sz w:val="20"/>
      <w:szCs w:val="20"/>
    </w:rPr>
  </w:style>
  <w:style w:type="character" w:styleId="EndnoteReference">
    <w:name w:val="endnote reference"/>
    <w:basedOn w:val="DefaultParagraphFont"/>
    <w:unhideWhenUsed/>
    <w:rsid w:val="006E1FE9"/>
    <w:rPr>
      <w:vertAlign w:val="superscript"/>
    </w:rPr>
  </w:style>
  <w:style w:type="paragraph" w:customStyle="1" w:styleId="Default">
    <w:name w:val="Default"/>
    <w:rsid w:val="0065234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26687"/>
    <w:rPr>
      <w:color w:val="800080" w:themeColor="followedHyperlink"/>
      <w:u w:val="single"/>
    </w:rPr>
  </w:style>
  <w:style w:type="character" w:styleId="CommentReference">
    <w:name w:val="annotation reference"/>
    <w:basedOn w:val="DefaultParagraphFont"/>
    <w:uiPriority w:val="99"/>
    <w:semiHidden/>
    <w:unhideWhenUsed/>
    <w:rsid w:val="003966D6"/>
    <w:rPr>
      <w:sz w:val="16"/>
      <w:szCs w:val="16"/>
    </w:rPr>
  </w:style>
  <w:style w:type="paragraph" w:styleId="CommentText">
    <w:name w:val="annotation text"/>
    <w:basedOn w:val="Normal"/>
    <w:link w:val="CommentTextChar"/>
    <w:uiPriority w:val="99"/>
    <w:unhideWhenUsed/>
    <w:rsid w:val="003966D6"/>
    <w:pPr>
      <w:spacing w:line="240" w:lineRule="auto"/>
    </w:pPr>
    <w:rPr>
      <w:sz w:val="20"/>
      <w:szCs w:val="20"/>
    </w:rPr>
  </w:style>
  <w:style w:type="character" w:customStyle="1" w:styleId="CommentTextChar">
    <w:name w:val="Comment Text Char"/>
    <w:basedOn w:val="DefaultParagraphFont"/>
    <w:link w:val="CommentText"/>
    <w:uiPriority w:val="99"/>
    <w:rsid w:val="003966D6"/>
    <w:rPr>
      <w:sz w:val="20"/>
      <w:szCs w:val="20"/>
    </w:rPr>
  </w:style>
  <w:style w:type="paragraph" w:styleId="CommentSubject">
    <w:name w:val="annotation subject"/>
    <w:basedOn w:val="CommentText"/>
    <w:next w:val="CommentText"/>
    <w:link w:val="CommentSubjectChar"/>
    <w:uiPriority w:val="99"/>
    <w:semiHidden/>
    <w:unhideWhenUsed/>
    <w:rsid w:val="00191F1D"/>
    <w:rPr>
      <w:b/>
      <w:bCs/>
    </w:rPr>
  </w:style>
  <w:style w:type="character" w:customStyle="1" w:styleId="CommentSubjectChar">
    <w:name w:val="Comment Subject Char"/>
    <w:basedOn w:val="CommentTextChar"/>
    <w:link w:val="CommentSubject"/>
    <w:uiPriority w:val="99"/>
    <w:semiHidden/>
    <w:rsid w:val="00191F1D"/>
    <w:rPr>
      <w:b/>
      <w:bCs/>
      <w:sz w:val="20"/>
      <w:szCs w:val="20"/>
    </w:rPr>
  </w:style>
  <w:style w:type="table" w:styleId="TableGrid">
    <w:name w:val="Table Grid"/>
    <w:basedOn w:val="TableNormal"/>
    <w:uiPriority w:val="59"/>
    <w:rsid w:val="006D0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0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M xmlns="8f294c81-eed8-4385-93ed-23d6dd3d576a" xsi:nil="true"/>
    <Document_x0020_Status xmlns="22c90bce-2cbd-47c9-a5a8-76d2d6d13de2">Draft</Document_x0020_Status>
    <Deliverable xmlns="22c90bce-2cbd-47c9-a5a8-76d2d6d13de2">No</Deliverable>
    <Comments xmlns="22c90bce-2cbd-47c9-a5a8-76d2d6d13de2" xsi:nil="true"/>
    <TaxCatchAll xmlns="1534e5d4-e7fe-4392-9655-70f228cf5b35">
      <Value>58</Value>
    </TaxCatchAll>
    <mfa46ff090dd47e589c97dbc7825eb2e xmlns="22c90bce-2cbd-47c9-a5a8-76d2d6d13de2">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63315dc7-df96-4ddf-aeb5-0d04ed27e0fc</TermId>
        </TermInfo>
      </Terms>
    </mfa46ff090dd47e589c97dbc7825eb2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B025A368495844990383BEFE54430B" ma:contentTypeVersion="8" ma:contentTypeDescription="Create a new document." ma:contentTypeScope="" ma:versionID="d6658179ed1df7a2cebd2b4d2c5b6e60">
  <xsd:schema xmlns:xsd="http://www.w3.org/2001/XMLSchema" xmlns:xs="http://www.w3.org/2001/XMLSchema" xmlns:p="http://schemas.microsoft.com/office/2006/metadata/properties" xmlns:ns2="22c90bce-2cbd-47c9-a5a8-76d2d6d13de2" xmlns:ns3="1534e5d4-e7fe-4392-9655-70f228cf5b35" xmlns:ns4="8f294c81-eed8-4385-93ed-23d6dd3d576a" targetNamespace="http://schemas.microsoft.com/office/2006/metadata/properties" ma:root="true" ma:fieldsID="5284d064dcb28df9a583212ced7dc774" ns2:_="" ns3:_="" ns4:_="">
    <xsd:import namespace="22c90bce-2cbd-47c9-a5a8-76d2d6d13de2"/>
    <xsd:import namespace="1534e5d4-e7fe-4392-9655-70f228cf5b35"/>
    <xsd:import namespace="8f294c81-eed8-4385-93ed-23d6dd3d576a"/>
    <xsd:element name="properties">
      <xsd:complexType>
        <xsd:sequence>
          <xsd:element name="documentManagement">
            <xsd:complexType>
              <xsd:all>
                <xsd:element ref="ns2:mfa46ff090dd47e589c97dbc7825eb2e" minOccurs="0"/>
                <xsd:element ref="ns3:TaxCatchAll" minOccurs="0"/>
                <xsd:element ref="ns2:Document_x0020_Status"/>
                <xsd:element ref="ns2:Deliverable"/>
                <xsd:element ref="ns2:Comments" minOccurs="0"/>
                <xsd:element ref="ns4:C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90bce-2cbd-47c9-a5a8-76d2d6d13de2" elementFormDefault="qualified">
    <xsd:import namespace="http://schemas.microsoft.com/office/2006/documentManagement/types"/>
    <xsd:import namespace="http://schemas.microsoft.com/office/infopath/2007/PartnerControls"/>
    <xsd:element name="mfa46ff090dd47e589c97dbc7825eb2e" ma:index="9" ma:taxonomy="true" ma:internalName="mfa46ff090dd47e589c97dbc7825eb2e" ma:taxonomyFieldName="Document_x0020_Category" ma:displayName="Document Category" ma:readOnly="false" ma:default="" ma:fieldId="{6fa46ff0-90dd-47e5-89c9-7dbc7825eb2e}" ma:taxonomyMulti="true" ma:sspId="84cbda40-2537-444e-86bb-4f84926de202" ma:termSetId="a83527ac-39dd-46b8-b863-771855a61c71" ma:anchorId="00000000-0000-0000-0000-000000000000" ma:open="false" ma:isKeyword="false">
      <xsd:complexType>
        <xsd:sequence>
          <xsd:element ref="pc:Terms" minOccurs="0" maxOccurs="1"/>
        </xsd:sequence>
      </xsd:complexType>
    </xsd:element>
    <xsd:element name="Document_x0020_Status" ma:index="11" ma:displayName="Document Status" ma:default="Draft" ma:format="Dropdown" ma:internalName="Document_x0020_Status">
      <xsd:simpleType>
        <xsd:restriction base="dms:Choice">
          <xsd:enumeration value="Draft"/>
          <xsd:enumeration value="Final"/>
        </xsd:restriction>
      </xsd:simpleType>
    </xsd:element>
    <xsd:element name="Deliverable" ma:index="12" ma:displayName="Deliverable" ma:default="No" ma:format="Dropdown" ma:internalName="Deliverable">
      <xsd:simpleType>
        <xsd:restriction base="dms:Choice">
          <xsd:enumeration value="Yes"/>
          <xsd:enumeration value="No"/>
        </xsd:restriction>
      </xsd:simpleType>
    </xsd:element>
    <xsd:element name="Comments" ma:index="13"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4e5d4-e7fe-4392-9655-70f228cf5b35"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06d36a8-cc95-4f3f-8f62-0901a9932021}" ma:internalName="TaxCatchAll" ma:showField="CatchAllData" ma:web="1534e5d4-e7fe-4392-9655-70f228cf5b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294c81-eed8-4385-93ed-23d6dd3d576a" elementFormDefault="qualified">
    <xsd:import namespace="http://schemas.microsoft.com/office/2006/documentManagement/types"/>
    <xsd:import namespace="http://schemas.microsoft.com/office/infopath/2007/PartnerControls"/>
    <xsd:element name="CM" ma:index="14" nillable="true" ma:displayName="CM?" ma:format="Dropdown" ma:internalName="CM">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2BC24E-5765-44EA-B4FA-33179A4DD8BD}"/>
</file>

<file path=customXml/itemProps2.xml><?xml version="1.0" encoding="utf-8"?>
<ds:datastoreItem xmlns:ds="http://schemas.openxmlformats.org/officeDocument/2006/customXml" ds:itemID="{A5BFDC16-73A7-4942-930E-18D3088CD44C}"/>
</file>

<file path=customXml/itemProps3.xml><?xml version="1.0" encoding="utf-8"?>
<ds:datastoreItem xmlns:ds="http://schemas.openxmlformats.org/officeDocument/2006/customXml" ds:itemID="{0A4CF81A-D04F-4418-B3D7-C76245A2D50A}"/>
</file>

<file path=customXml/itemProps4.xml><?xml version="1.0" encoding="utf-8"?>
<ds:datastoreItem xmlns:ds="http://schemas.openxmlformats.org/officeDocument/2006/customXml" ds:itemID="{60B869DE-3BAC-4144-B427-3925175ED788}"/>
</file>

<file path=docProps/app.xml><?xml version="1.0" encoding="utf-8"?>
<Properties xmlns="http://schemas.openxmlformats.org/officeDocument/2006/extended-properties" xmlns:vt="http://schemas.openxmlformats.org/officeDocument/2006/docPropsVTypes">
  <Template>Normal.dotm</Template>
  <TotalTime>7</TotalTime>
  <Pages>1</Pages>
  <Words>560</Words>
  <Characters>3231</Characters>
  <Application>Microsoft Macintosh Word</Application>
  <DocSecurity>0</DocSecurity>
  <Lines>46</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 CATHIE</dc:creator>
  <cp:lastModifiedBy>Mirna Herman Baletic</cp:lastModifiedBy>
  <cp:revision>4</cp:revision>
  <dcterms:created xsi:type="dcterms:W3CDTF">2019-10-01T09:25:00Z</dcterms:created>
  <dcterms:modified xsi:type="dcterms:W3CDTF">2019-10-09T17:04:00Z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0x01010079B025A368495844990383BEFE54430B</vt:lpwstr>
  </property>
  <property fmtid="{D5CDD505-2E9C-101B-9397-08002B2CF9AE}" pid="3" name="Document Category">
    <vt:lpwstr>58;#Other|63315dc7-df96-4ddf-aeb5-0d04ed27e0fc</vt:lpwstr>
  </property>
</Properties>
</file>